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class-people"/>
    <w:p>
      <w:pPr>
        <w:pStyle w:val="Heading1"/>
      </w:pPr>
      <w:r>
        <w:t xml:space="preserve">CLASS PEOPLE</w:t>
      </w:r>
    </w:p>
    <w:bookmarkEnd w:id="20"/>
    <w:bookmarkStart w:id="38" w:name="complaints-procedure"/>
    <w:p>
      <w:pPr>
        <w:pStyle w:val="Heading1"/>
      </w:pPr>
      <w:r>
        <w:t xml:space="preserve">COMPLAINTS PROCEDURE</w:t>
      </w:r>
    </w:p>
    <w:bookmarkStart w:id="21" w:name="purpose"/>
    <w:p>
      <w:pPr>
        <w:pStyle w:val="Heading2"/>
      </w:pPr>
      <w:r>
        <w:t xml:space="preserve">1. Purpose</w:t>
      </w:r>
    </w:p>
    <w:p>
      <w:pPr>
        <w:pStyle w:val="FirstParagraph"/>
      </w:pPr>
      <w:r>
        <w:t xml:space="preserve">LB Education Services Ltd t/a Class People (</w:t>
      </w:r>
      <w:r>
        <w:t xml:space="preserve">“Class People”</w:t>
      </w:r>
      <w:r>
        <w:t xml:space="preserve">) is committed to providing a professional, responsive and high-quality service to candidates, workers, clients and other stakeholders.</w:t>
      </w:r>
    </w:p>
    <w:p>
      <w:pPr>
        <w:pStyle w:val="BodyText"/>
      </w:pPr>
      <w:r>
        <w:t xml:space="preserve">We take complaints seriously and view them as an opportunity to improve our services and processes.</w:t>
      </w:r>
    </w:p>
    <w:p>
      <w:pPr>
        <w:pStyle w:val="BodyText"/>
      </w:pPr>
      <w:r>
        <w:t xml:space="preserve">This procedure explains how complaints may be raised and how they will be investigated and resolved.</w:t>
      </w:r>
    </w:p>
    <w:p>
      <w:r>
        <w:pict>
          <v:rect style="width:0;height:1.5pt" o:hralign="center" o:hrstd="t" o:hr="t"/>
        </w:pict>
      </w:r>
    </w:p>
    <w:bookmarkEnd w:id="21"/>
    <w:bookmarkStart w:id="22" w:name="scope"/>
    <w:p>
      <w:pPr>
        <w:pStyle w:val="Heading2"/>
      </w:pPr>
      <w:r>
        <w:t xml:space="preserve">2. Scope</w:t>
      </w:r>
    </w:p>
    <w:p>
      <w:pPr>
        <w:pStyle w:val="FirstParagraph"/>
      </w:pPr>
      <w:r>
        <w:t xml:space="preserve">This procedure applies to complaints relating to:</w:t>
      </w:r>
    </w:p>
    <w:p>
      <w:pPr>
        <w:pStyle w:val="Compact"/>
        <w:numPr>
          <w:ilvl w:val="0"/>
          <w:numId w:val="1001"/>
        </w:numPr>
      </w:pPr>
      <w:r>
        <w:t xml:space="preserve">recruitment services;</w:t>
      </w:r>
    </w:p>
    <w:p>
      <w:pPr>
        <w:pStyle w:val="Compact"/>
        <w:numPr>
          <w:ilvl w:val="0"/>
          <w:numId w:val="1001"/>
        </w:numPr>
      </w:pPr>
      <w:r>
        <w:t xml:space="preserve">temporary worker placements;</w:t>
      </w:r>
    </w:p>
    <w:p>
      <w:pPr>
        <w:pStyle w:val="Compact"/>
        <w:numPr>
          <w:ilvl w:val="0"/>
          <w:numId w:val="1001"/>
        </w:numPr>
      </w:pPr>
      <w:r>
        <w:t xml:space="preserve">permanent recruitment services;</w:t>
      </w:r>
    </w:p>
    <w:p>
      <w:pPr>
        <w:pStyle w:val="Compact"/>
        <w:numPr>
          <w:ilvl w:val="0"/>
          <w:numId w:val="1001"/>
        </w:numPr>
      </w:pPr>
      <w:r>
        <w:t xml:space="preserve">candidate registration processes;</w:t>
      </w:r>
    </w:p>
    <w:p>
      <w:pPr>
        <w:pStyle w:val="Compact"/>
        <w:numPr>
          <w:ilvl w:val="0"/>
          <w:numId w:val="1001"/>
        </w:numPr>
      </w:pPr>
      <w:r>
        <w:t xml:space="preserve">safeguarding concerns;</w:t>
      </w:r>
    </w:p>
    <w:p>
      <w:pPr>
        <w:pStyle w:val="Compact"/>
        <w:numPr>
          <w:ilvl w:val="0"/>
          <w:numId w:val="1001"/>
        </w:numPr>
      </w:pPr>
      <w:r>
        <w:t xml:space="preserve">compliance matters;</w:t>
      </w:r>
    </w:p>
    <w:p>
      <w:pPr>
        <w:pStyle w:val="Compact"/>
        <w:numPr>
          <w:ilvl w:val="0"/>
          <w:numId w:val="1001"/>
        </w:numPr>
      </w:pPr>
      <w:r>
        <w:t xml:space="preserve">conduct of employees or representatives of Class People;</w:t>
      </w:r>
    </w:p>
    <w:p>
      <w:pPr>
        <w:pStyle w:val="Compact"/>
        <w:numPr>
          <w:ilvl w:val="0"/>
          <w:numId w:val="1001"/>
        </w:numPr>
      </w:pPr>
      <w:r>
        <w:t xml:space="preserve">service standards; and</w:t>
      </w:r>
    </w:p>
    <w:p>
      <w:pPr>
        <w:pStyle w:val="Compact"/>
        <w:numPr>
          <w:ilvl w:val="0"/>
          <w:numId w:val="1001"/>
        </w:numPr>
      </w:pPr>
      <w:r>
        <w:t xml:space="preserve">any other business activity undertaken by Class People.</w:t>
      </w:r>
    </w:p>
    <w:p>
      <w:pPr>
        <w:pStyle w:val="FirstParagraph"/>
      </w:pPr>
      <w:r>
        <w:t xml:space="preserve">This procedure does not replace any statutory reporting process relating to safeguarding, discrimination, criminal conduct or regulatory matters.</w:t>
      </w:r>
    </w:p>
    <w:p>
      <w:r>
        <w:pict>
          <v:rect style="width:0;height:1.5pt" o:hralign="center" o:hrstd="t" o:hr="t"/>
        </w:pict>
      </w:r>
    </w:p>
    <w:bookmarkEnd w:id="22"/>
    <w:bookmarkStart w:id="23" w:name="who-can-make-a-complaint"/>
    <w:p>
      <w:pPr>
        <w:pStyle w:val="Heading2"/>
      </w:pPr>
      <w:r>
        <w:t xml:space="preserve">3. Who Can Make a Complaint?</w:t>
      </w:r>
    </w:p>
    <w:p>
      <w:pPr>
        <w:pStyle w:val="FirstParagraph"/>
      </w:pPr>
      <w:r>
        <w:t xml:space="preserve">Complaints may be made by:</w:t>
      </w:r>
    </w:p>
    <w:p>
      <w:pPr>
        <w:pStyle w:val="Compact"/>
        <w:numPr>
          <w:ilvl w:val="0"/>
          <w:numId w:val="1002"/>
        </w:numPr>
      </w:pPr>
      <w:r>
        <w:t xml:space="preserve">candidates;</w:t>
      </w:r>
    </w:p>
    <w:p>
      <w:pPr>
        <w:pStyle w:val="Compact"/>
        <w:numPr>
          <w:ilvl w:val="0"/>
          <w:numId w:val="1002"/>
        </w:numPr>
      </w:pPr>
      <w:r>
        <w:t xml:space="preserve">agency workers;</w:t>
      </w:r>
    </w:p>
    <w:p>
      <w:pPr>
        <w:pStyle w:val="Compact"/>
        <w:numPr>
          <w:ilvl w:val="0"/>
          <w:numId w:val="1002"/>
        </w:numPr>
      </w:pPr>
      <w:r>
        <w:t xml:space="preserve">clients;</w:t>
      </w:r>
    </w:p>
    <w:p>
      <w:pPr>
        <w:pStyle w:val="Compact"/>
        <w:numPr>
          <w:ilvl w:val="0"/>
          <w:numId w:val="1002"/>
        </w:numPr>
      </w:pPr>
      <w:r>
        <w:t xml:space="preserve">employees;</w:t>
      </w:r>
    </w:p>
    <w:p>
      <w:pPr>
        <w:pStyle w:val="Compact"/>
        <w:numPr>
          <w:ilvl w:val="0"/>
          <w:numId w:val="1002"/>
        </w:numPr>
      </w:pPr>
      <w:r>
        <w:t xml:space="preserve">contractors;</w:t>
      </w:r>
    </w:p>
    <w:p>
      <w:pPr>
        <w:pStyle w:val="Compact"/>
        <w:numPr>
          <w:ilvl w:val="0"/>
          <w:numId w:val="1002"/>
        </w:numPr>
      </w:pPr>
      <w:r>
        <w:t xml:space="preserve">suppliers; or</w:t>
      </w:r>
    </w:p>
    <w:p>
      <w:pPr>
        <w:pStyle w:val="Compact"/>
        <w:numPr>
          <w:ilvl w:val="0"/>
          <w:numId w:val="1002"/>
        </w:numPr>
      </w:pPr>
      <w:r>
        <w:t xml:space="preserve">any person affected by the activities of Class People.</w:t>
      </w:r>
    </w:p>
    <w:p>
      <w:r>
        <w:pict>
          <v:rect style="width:0;height:1.5pt" o:hralign="center" o:hrstd="t" o:hr="t"/>
        </w:pict>
      </w:r>
    </w:p>
    <w:bookmarkEnd w:id="23"/>
    <w:bookmarkStart w:id="27" w:name="how-to-make-a-complaint"/>
    <w:p>
      <w:pPr>
        <w:pStyle w:val="Heading2"/>
      </w:pPr>
      <w:r>
        <w:t xml:space="preserve">4. How to Make a Complaint</w:t>
      </w:r>
    </w:p>
    <w:p>
      <w:pPr>
        <w:pStyle w:val="FirstParagraph"/>
      </w:pPr>
      <w:r>
        <w:t xml:space="preserve">Complaints may be submitted:</w:t>
      </w:r>
    </w:p>
    <w:bookmarkStart w:id="24" w:name="by-email"/>
    <w:p>
      <w:pPr>
        <w:pStyle w:val="Heading3"/>
      </w:pPr>
      <w:r>
        <w:t xml:space="preserve">By Email</w:t>
      </w:r>
    </w:p>
    <w:p>
      <w:pPr>
        <w:pStyle w:val="FirstParagraph"/>
      </w:pPr>
      <w:r>
        <w:t xml:space="preserve">compliance@classpeople.co.uk</w:t>
      </w:r>
    </w:p>
    <w:bookmarkEnd w:id="24"/>
    <w:bookmarkStart w:id="25" w:name="by-telephone"/>
    <w:p>
      <w:pPr>
        <w:pStyle w:val="Heading3"/>
      </w:pPr>
      <w:r>
        <w:t xml:space="preserve">By Telephone</w:t>
      </w:r>
    </w:p>
    <w:p>
      <w:pPr>
        <w:pStyle w:val="FirstParagraph"/>
      </w:pPr>
      <w:r>
        <w:t xml:space="preserve">01242 898124</w:t>
      </w:r>
    </w:p>
    <w:bookmarkEnd w:id="25"/>
    <w:bookmarkStart w:id="26" w:name="by-post"/>
    <w:p>
      <w:pPr>
        <w:pStyle w:val="Heading3"/>
      </w:pPr>
      <w:r>
        <w:t xml:space="preserve">By Post</w:t>
      </w:r>
    </w:p>
    <w:p>
      <w:pPr>
        <w:pStyle w:val="FirstParagraph"/>
      </w:pPr>
      <w:r>
        <w:t xml:space="preserve">LB Education Services Ltd t/a Class People</w:t>
      </w:r>
    </w:p>
    <w:p>
      <w:pPr>
        <w:pStyle w:val="BodyText"/>
      </w:pPr>
      <w:r>
        <w:t xml:space="preserve">2 Manor Park Business Centre</w:t>
      </w:r>
    </w:p>
    <w:p>
      <w:pPr>
        <w:pStyle w:val="BodyText"/>
      </w:pPr>
      <w:r>
        <w:t xml:space="preserve">Mackenzie Way</w:t>
      </w:r>
    </w:p>
    <w:p>
      <w:pPr>
        <w:pStyle w:val="BodyText"/>
      </w:pPr>
      <w:r>
        <w:t xml:space="preserve">Swindon Village</w:t>
      </w:r>
    </w:p>
    <w:p>
      <w:pPr>
        <w:pStyle w:val="BodyText"/>
      </w:pPr>
      <w:r>
        <w:t xml:space="preserve">Cheltenham</w:t>
      </w:r>
    </w:p>
    <w:p>
      <w:pPr>
        <w:pStyle w:val="BodyText"/>
      </w:pPr>
      <w:r>
        <w:t xml:space="preserve">GL51 9TX</w:t>
      </w:r>
    </w:p>
    <w:p>
      <w:pPr>
        <w:pStyle w:val="BodyText"/>
      </w:pPr>
      <w:r>
        <w:t xml:space="preserve">Complaints should include:</w:t>
      </w:r>
    </w:p>
    <w:p>
      <w:pPr>
        <w:pStyle w:val="Compact"/>
        <w:numPr>
          <w:ilvl w:val="0"/>
          <w:numId w:val="1003"/>
        </w:numPr>
      </w:pPr>
      <w:r>
        <w:t xml:space="preserve">the complainant’s name;</w:t>
      </w:r>
    </w:p>
    <w:p>
      <w:pPr>
        <w:pStyle w:val="Compact"/>
        <w:numPr>
          <w:ilvl w:val="0"/>
          <w:numId w:val="1003"/>
        </w:numPr>
      </w:pPr>
      <w:r>
        <w:t xml:space="preserve">contact details;</w:t>
      </w:r>
    </w:p>
    <w:p>
      <w:pPr>
        <w:pStyle w:val="Compact"/>
        <w:numPr>
          <w:ilvl w:val="0"/>
          <w:numId w:val="1003"/>
        </w:numPr>
      </w:pPr>
      <w:r>
        <w:t xml:space="preserve">details of the complaint;</w:t>
      </w:r>
    </w:p>
    <w:p>
      <w:pPr>
        <w:pStyle w:val="Compact"/>
        <w:numPr>
          <w:ilvl w:val="0"/>
          <w:numId w:val="1003"/>
        </w:numPr>
      </w:pPr>
      <w:r>
        <w:t xml:space="preserve">relevant dates;</w:t>
      </w:r>
    </w:p>
    <w:p>
      <w:pPr>
        <w:pStyle w:val="Compact"/>
        <w:numPr>
          <w:ilvl w:val="0"/>
          <w:numId w:val="1003"/>
        </w:numPr>
      </w:pPr>
      <w:r>
        <w:t xml:space="preserve">supporting documents or evidence where available; and</w:t>
      </w:r>
    </w:p>
    <w:p>
      <w:pPr>
        <w:pStyle w:val="Compact"/>
        <w:numPr>
          <w:ilvl w:val="0"/>
          <w:numId w:val="1003"/>
        </w:numPr>
      </w:pPr>
      <w:r>
        <w:t xml:space="preserve">details of the outcome sought.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acknowledgement"/>
    <w:p>
      <w:pPr>
        <w:pStyle w:val="Heading2"/>
      </w:pPr>
      <w:r>
        <w:t xml:space="preserve">5. Acknowledgement</w:t>
      </w:r>
    </w:p>
    <w:p>
      <w:pPr>
        <w:pStyle w:val="FirstParagraph"/>
      </w:pPr>
      <w:r>
        <w:t xml:space="preserve">Class People will normally acknowledge receipt of a complaint within five working days.</w:t>
      </w:r>
    </w:p>
    <w:p>
      <w:pPr>
        <w:pStyle w:val="BodyText"/>
      </w:pPr>
      <w:r>
        <w:t xml:space="preserve">The acknowledgement may:</w:t>
      </w:r>
    </w:p>
    <w:p>
      <w:pPr>
        <w:pStyle w:val="Compact"/>
        <w:numPr>
          <w:ilvl w:val="0"/>
          <w:numId w:val="1004"/>
        </w:numPr>
      </w:pPr>
      <w:r>
        <w:t xml:space="preserve">confirm receipt;</w:t>
      </w:r>
    </w:p>
    <w:p>
      <w:pPr>
        <w:pStyle w:val="Compact"/>
        <w:numPr>
          <w:ilvl w:val="0"/>
          <w:numId w:val="1004"/>
        </w:numPr>
      </w:pPr>
      <w:r>
        <w:t xml:space="preserve">request further information;</w:t>
      </w:r>
    </w:p>
    <w:p>
      <w:pPr>
        <w:pStyle w:val="Compact"/>
        <w:numPr>
          <w:ilvl w:val="0"/>
          <w:numId w:val="1004"/>
        </w:numPr>
      </w:pPr>
      <w:r>
        <w:t xml:space="preserve">identify the individual handling the complaint; and</w:t>
      </w:r>
    </w:p>
    <w:p>
      <w:pPr>
        <w:pStyle w:val="Compact"/>
        <w:numPr>
          <w:ilvl w:val="0"/>
          <w:numId w:val="1004"/>
        </w:numPr>
      </w:pPr>
      <w:r>
        <w:t xml:space="preserve">provide an indicative timescale for investigation.</w:t>
      </w:r>
    </w:p>
    <w:p>
      <w:r>
        <w:pict>
          <v:rect style="width:0;height:1.5pt" o:hralign="center" o:hrstd="t" o:hr="t"/>
        </w:pict>
      </w:r>
    </w:p>
    <w:bookmarkEnd w:id="28"/>
    <w:bookmarkStart w:id="29" w:name="investigation"/>
    <w:p>
      <w:pPr>
        <w:pStyle w:val="Heading2"/>
      </w:pPr>
      <w:r>
        <w:t xml:space="preserve">6. Investigation</w:t>
      </w:r>
    </w:p>
    <w:p>
      <w:pPr>
        <w:pStyle w:val="FirstParagraph"/>
      </w:pPr>
      <w:r>
        <w:t xml:space="preserve">Complaints will be investigated fairly, objectively and proportionately.</w:t>
      </w:r>
    </w:p>
    <w:p>
      <w:pPr>
        <w:pStyle w:val="BodyText"/>
      </w:pPr>
      <w:r>
        <w:t xml:space="preserve">The investigation may include:</w:t>
      </w:r>
    </w:p>
    <w:p>
      <w:pPr>
        <w:pStyle w:val="Compact"/>
        <w:numPr>
          <w:ilvl w:val="0"/>
          <w:numId w:val="1005"/>
        </w:numPr>
      </w:pPr>
      <w:r>
        <w:t xml:space="preserve">reviewing documents and records;</w:t>
      </w:r>
    </w:p>
    <w:p>
      <w:pPr>
        <w:pStyle w:val="Compact"/>
        <w:numPr>
          <w:ilvl w:val="0"/>
          <w:numId w:val="1005"/>
        </w:numPr>
      </w:pPr>
      <w:r>
        <w:t xml:space="preserve">speaking with relevant staff;</w:t>
      </w:r>
    </w:p>
    <w:p>
      <w:pPr>
        <w:pStyle w:val="Compact"/>
        <w:numPr>
          <w:ilvl w:val="0"/>
          <w:numId w:val="1005"/>
        </w:numPr>
      </w:pPr>
      <w:r>
        <w:t xml:space="preserve">speaking with the complainant;</w:t>
      </w:r>
    </w:p>
    <w:p>
      <w:pPr>
        <w:pStyle w:val="Compact"/>
        <w:numPr>
          <w:ilvl w:val="0"/>
          <w:numId w:val="1005"/>
        </w:numPr>
      </w:pPr>
      <w:r>
        <w:t xml:space="preserve">speaking with clients, candidates or workers where appropriate; and</w:t>
      </w:r>
    </w:p>
    <w:p>
      <w:pPr>
        <w:pStyle w:val="Compact"/>
        <w:numPr>
          <w:ilvl w:val="0"/>
          <w:numId w:val="1005"/>
        </w:numPr>
      </w:pPr>
      <w:r>
        <w:t xml:space="preserve">reviewing compliance and safeguarding records.</w:t>
      </w:r>
    </w:p>
    <w:p>
      <w:pPr>
        <w:pStyle w:val="FirstParagraph"/>
      </w:pPr>
      <w:r>
        <w:t xml:space="preserve">All parties will be treated fairly throughout the process.</w:t>
      </w:r>
    </w:p>
    <w:p>
      <w:r>
        <w:pict>
          <v:rect style="width:0;height:1.5pt" o:hralign="center" o:hrstd="t" o:hr="t"/>
        </w:pict>
      </w:r>
    </w:p>
    <w:bookmarkEnd w:id="29"/>
    <w:bookmarkStart w:id="30" w:name="response"/>
    <w:p>
      <w:pPr>
        <w:pStyle w:val="Heading2"/>
      </w:pPr>
      <w:r>
        <w:t xml:space="preserve">7. Response</w:t>
      </w:r>
    </w:p>
    <w:p>
      <w:pPr>
        <w:pStyle w:val="FirstParagraph"/>
      </w:pPr>
      <w:r>
        <w:t xml:space="preserve">Class People will aim to provide a substantive response within twenty working days of receiving sufficient information to investigate the complaint.</w:t>
      </w:r>
    </w:p>
    <w:p>
      <w:pPr>
        <w:pStyle w:val="BodyText"/>
      </w:pPr>
      <w:r>
        <w:t xml:space="preserve">The response may:</w:t>
      </w:r>
    </w:p>
    <w:p>
      <w:pPr>
        <w:pStyle w:val="Compact"/>
        <w:numPr>
          <w:ilvl w:val="0"/>
          <w:numId w:val="1006"/>
        </w:numPr>
      </w:pPr>
      <w:r>
        <w:t xml:space="preserve">uphold the complaint;</w:t>
      </w:r>
    </w:p>
    <w:p>
      <w:pPr>
        <w:pStyle w:val="Compact"/>
        <w:numPr>
          <w:ilvl w:val="0"/>
          <w:numId w:val="1006"/>
        </w:numPr>
      </w:pPr>
      <w:r>
        <w:t xml:space="preserve">partially uphold the complaint;</w:t>
      </w:r>
    </w:p>
    <w:p>
      <w:pPr>
        <w:pStyle w:val="Compact"/>
        <w:numPr>
          <w:ilvl w:val="0"/>
          <w:numId w:val="1006"/>
        </w:numPr>
      </w:pPr>
      <w:r>
        <w:t xml:space="preserve">reject the complaint; or</w:t>
      </w:r>
    </w:p>
    <w:p>
      <w:pPr>
        <w:pStyle w:val="Compact"/>
        <w:numPr>
          <w:ilvl w:val="0"/>
          <w:numId w:val="1006"/>
        </w:numPr>
      </w:pPr>
      <w:r>
        <w:t xml:space="preserve">identify areas for improvement without accepting fault.</w:t>
      </w:r>
    </w:p>
    <w:p>
      <w:pPr>
        <w:pStyle w:val="FirstParagraph"/>
      </w:pPr>
      <w:r>
        <w:t xml:space="preserve">Where appropriate, the response may include:</w:t>
      </w:r>
    </w:p>
    <w:p>
      <w:pPr>
        <w:pStyle w:val="Compact"/>
        <w:numPr>
          <w:ilvl w:val="0"/>
          <w:numId w:val="1007"/>
        </w:numPr>
      </w:pPr>
      <w:r>
        <w:t xml:space="preserve">an explanation;</w:t>
      </w:r>
    </w:p>
    <w:p>
      <w:pPr>
        <w:pStyle w:val="Compact"/>
        <w:numPr>
          <w:ilvl w:val="0"/>
          <w:numId w:val="1007"/>
        </w:numPr>
      </w:pPr>
      <w:r>
        <w:t xml:space="preserve">an apology;</w:t>
      </w:r>
    </w:p>
    <w:p>
      <w:pPr>
        <w:pStyle w:val="Compact"/>
        <w:numPr>
          <w:ilvl w:val="0"/>
          <w:numId w:val="1007"/>
        </w:numPr>
      </w:pPr>
      <w:r>
        <w:t xml:space="preserve">corrective action;</w:t>
      </w:r>
    </w:p>
    <w:p>
      <w:pPr>
        <w:pStyle w:val="Compact"/>
        <w:numPr>
          <w:ilvl w:val="0"/>
          <w:numId w:val="1007"/>
        </w:numPr>
      </w:pPr>
      <w:r>
        <w:t xml:space="preserve">process improvements; or</w:t>
      </w:r>
    </w:p>
    <w:p>
      <w:pPr>
        <w:pStyle w:val="Compact"/>
        <w:numPr>
          <w:ilvl w:val="0"/>
          <w:numId w:val="1007"/>
        </w:numPr>
      </w:pPr>
      <w:r>
        <w:t xml:space="preserve">other appropriate remedies.</w:t>
      </w:r>
    </w:p>
    <w:p>
      <w:r>
        <w:pict>
          <v:rect style="width:0;height:1.5pt" o:hralign="center" o:hrstd="t" o:hr="t"/>
        </w:pict>
      </w:r>
    </w:p>
    <w:bookmarkEnd w:id="30"/>
    <w:bookmarkStart w:id="31" w:name="escalation"/>
    <w:p>
      <w:pPr>
        <w:pStyle w:val="Heading2"/>
      </w:pPr>
      <w:r>
        <w:t xml:space="preserve">8. Escalation</w:t>
      </w:r>
    </w:p>
    <w:p>
      <w:pPr>
        <w:pStyle w:val="FirstParagraph"/>
      </w:pPr>
      <w:r>
        <w:t xml:space="preserve">If the complainant is dissatisfied with the outcome, they may request that the complaint be reviewed by senior management.</w:t>
      </w:r>
    </w:p>
    <w:p>
      <w:pPr>
        <w:pStyle w:val="BodyText"/>
      </w:pPr>
      <w:r>
        <w:t xml:space="preserve">A request for review should normally be submitted within fourteen days of the original response.</w:t>
      </w:r>
    </w:p>
    <w:p>
      <w:pPr>
        <w:pStyle w:val="BodyText"/>
      </w:pPr>
      <w:r>
        <w:t xml:space="preserve">The review will consider:</w:t>
      </w:r>
    </w:p>
    <w:p>
      <w:pPr>
        <w:pStyle w:val="Compact"/>
        <w:numPr>
          <w:ilvl w:val="0"/>
          <w:numId w:val="1008"/>
        </w:numPr>
      </w:pPr>
      <w:r>
        <w:t xml:space="preserve">whether the complaint was investigated fairly;</w:t>
      </w:r>
    </w:p>
    <w:p>
      <w:pPr>
        <w:pStyle w:val="Compact"/>
        <w:numPr>
          <w:ilvl w:val="0"/>
          <w:numId w:val="1008"/>
        </w:numPr>
      </w:pPr>
      <w:r>
        <w:t xml:space="preserve">whether relevant information was considered; and</w:t>
      </w:r>
    </w:p>
    <w:p>
      <w:pPr>
        <w:pStyle w:val="Compact"/>
        <w:numPr>
          <w:ilvl w:val="0"/>
          <w:numId w:val="1008"/>
        </w:numPr>
      </w:pPr>
      <w:r>
        <w:t xml:space="preserve">whether the outcome was reasonable in the circumstances.</w:t>
      </w:r>
    </w:p>
    <w:p>
      <w:pPr>
        <w:pStyle w:val="FirstParagraph"/>
      </w:pPr>
      <w:r>
        <w:t xml:space="preserve">The review decision will normally be final.</w:t>
      </w:r>
    </w:p>
    <w:p>
      <w:r>
        <w:pict>
          <v:rect style="width:0;height:1.5pt" o:hralign="center" o:hrstd="t" o:hr="t"/>
        </w:pict>
      </w:r>
    </w:p>
    <w:bookmarkEnd w:id="31"/>
    <w:bookmarkStart w:id="32" w:name="safeguarding-complaints"/>
    <w:p>
      <w:pPr>
        <w:pStyle w:val="Heading2"/>
      </w:pPr>
      <w:r>
        <w:t xml:space="preserve">9. Safeguarding Complaints</w:t>
      </w:r>
    </w:p>
    <w:p>
      <w:pPr>
        <w:pStyle w:val="FirstParagraph"/>
      </w:pPr>
      <w:r>
        <w:t xml:space="preserve">Complaints involving safeguarding concerns will be treated as a priority.</w:t>
      </w:r>
    </w:p>
    <w:p>
      <w:pPr>
        <w:pStyle w:val="BodyText"/>
      </w:pPr>
      <w:r>
        <w:t xml:space="preserve">Where appropriate, Class People may:</w:t>
      </w:r>
    </w:p>
    <w:p>
      <w:pPr>
        <w:pStyle w:val="Compact"/>
        <w:numPr>
          <w:ilvl w:val="0"/>
          <w:numId w:val="1009"/>
        </w:numPr>
      </w:pPr>
      <w:r>
        <w:t xml:space="preserve">refer matters to relevant authorities;</w:t>
      </w:r>
    </w:p>
    <w:p>
      <w:pPr>
        <w:pStyle w:val="Compact"/>
        <w:numPr>
          <w:ilvl w:val="0"/>
          <w:numId w:val="1009"/>
        </w:numPr>
      </w:pPr>
      <w:r>
        <w:t xml:space="preserve">notify schools or educational settings;</w:t>
      </w:r>
    </w:p>
    <w:p>
      <w:pPr>
        <w:pStyle w:val="Compact"/>
        <w:numPr>
          <w:ilvl w:val="0"/>
          <w:numId w:val="1009"/>
        </w:numPr>
      </w:pPr>
      <w:r>
        <w:t xml:space="preserve">notify the Disclosure and Barring Service;</w:t>
      </w:r>
    </w:p>
    <w:p>
      <w:pPr>
        <w:pStyle w:val="Compact"/>
        <w:numPr>
          <w:ilvl w:val="0"/>
          <w:numId w:val="1009"/>
        </w:numPr>
      </w:pPr>
      <w:r>
        <w:t xml:space="preserve">notify the Teaching Regulation Agency; or</w:t>
      </w:r>
    </w:p>
    <w:p>
      <w:pPr>
        <w:pStyle w:val="Compact"/>
        <w:numPr>
          <w:ilvl w:val="0"/>
          <w:numId w:val="1009"/>
        </w:numPr>
      </w:pPr>
      <w:r>
        <w:t xml:space="preserve">take any other action required by law or safeguarding guidance.</w:t>
      </w:r>
    </w:p>
    <w:p>
      <w:pPr>
        <w:pStyle w:val="FirstParagraph"/>
      </w:pPr>
      <w:r>
        <w:t xml:space="preserve">Safeguarding concerns may be handled separately from this complaints procedure where necessary.</w:t>
      </w:r>
    </w:p>
    <w:p>
      <w:r>
        <w:pict>
          <v:rect style="width:0;height:1.5pt" o:hralign="center" o:hrstd="t" o:hr="t"/>
        </w:pict>
      </w:r>
    </w:p>
    <w:bookmarkEnd w:id="32"/>
    <w:bookmarkStart w:id="33" w:name="confidentiality"/>
    <w:p>
      <w:pPr>
        <w:pStyle w:val="Heading2"/>
      </w:pPr>
      <w:r>
        <w:t xml:space="preserve">10. Confidentiality</w:t>
      </w:r>
    </w:p>
    <w:p>
      <w:pPr>
        <w:pStyle w:val="FirstParagraph"/>
      </w:pPr>
      <w:r>
        <w:t xml:space="preserve">Complaints will be handled confidentially so far as reasonably practicable.</w:t>
      </w:r>
    </w:p>
    <w:p>
      <w:pPr>
        <w:pStyle w:val="BodyText"/>
      </w:pPr>
      <w:r>
        <w:t xml:space="preserve">Information will only be shared with those who need access for the purposes of investigating or resolving the complaint or where disclosure is required by law.</w:t>
      </w:r>
    </w:p>
    <w:p>
      <w:r>
        <w:pict>
          <v:rect style="width:0;height:1.5pt" o:hralign="center" o:hrstd="t" o:hr="t"/>
        </w:pict>
      </w:r>
    </w:p>
    <w:bookmarkEnd w:id="33"/>
    <w:bookmarkStart w:id="34" w:name="records"/>
    <w:p>
      <w:pPr>
        <w:pStyle w:val="Heading2"/>
      </w:pPr>
      <w:r>
        <w:t xml:space="preserve">11. Records</w:t>
      </w:r>
    </w:p>
    <w:p>
      <w:pPr>
        <w:pStyle w:val="FirstParagraph"/>
      </w:pPr>
      <w:r>
        <w:t xml:space="preserve">Class People will maintain records of:</w:t>
      </w:r>
    </w:p>
    <w:p>
      <w:pPr>
        <w:pStyle w:val="Compact"/>
        <w:numPr>
          <w:ilvl w:val="0"/>
          <w:numId w:val="1010"/>
        </w:numPr>
      </w:pPr>
      <w:r>
        <w:t xml:space="preserve">complaints received;</w:t>
      </w:r>
    </w:p>
    <w:p>
      <w:pPr>
        <w:pStyle w:val="Compact"/>
        <w:numPr>
          <w:ilvl w:val="0"/>
          <w:numId w:val="1010"/>
        </w:numPr>
      </w:pPr>
      <w:r>
        <w:t xml:space="preserve">investigations undertaken;</w:t>
      </w:r>
    </w:p>
    <w:p>
      <w:pPr>
        <w:pStyle w:val="Compact"/>
        <w:numPr>
          <w:ilvl w:val="0"/>
          <w:numId w:val="1010"/>
        </w:numPr>
      </w:pPr>
      <w:r>
        <w:t xml:space="preserve">decisions reached; and</w:t>
      </w:r>
    </w:p>
    <w:p>
      <w:pPr>
        <w:pStyle w:val="Compact"/>
        <w:numPr>
          <w:ilvl w:val="0"/>
          <w:numId w:val="1010"/>
        </w:numPr>
      </w:pPr>
      <w:r>
        <w:t xml:space="preserve">actions taken.</w:t>
      </w:r>
    </w:p>
    <w:p>
      <w:pPr>
        <w:pStyle w:val="FirstParagraph"/>
      </w:pPr>
      <w:r>
        <w:t xml:space="preserve">Records will be retained in accordance with the Class People Data Retention Policy.</w:t>
      </w:r>
    </w:p>
    <w:p>
      <w:r>
        <w:pict>
          <v:rect style="width:0;height:1.5pt" o:hralign="center" o:hrstd="t" o:hr="t"/>
        </w:pict>
      </w:r>
    </w:p>
    <w:bookmarkEnd w:id="34"/>
    <w:bookmarkStart w:id="35" w:name="learning-and-continuous-improvement"/>
    <w:p>
      <w:pPr>
        <w:pStyle w:val="Heading2"/>
      </w:pPr>
      <w:r>
        <w:t xml:space="preserve">12. Learning and Continuous Improvement</w:t>
      </w:r>
    </w:p>
    <w:p>
      <w:pPr>
        <w:pStyle w:val="FirstParagraph"/>
      </w:pPr>
      <w:r>
        <w:t xml:space="preserve">Class People will periodically review complaints to identify:</w:t>
      </w:r>
    </w:p>
    <w:p>
      <w:pPr>
        <w:pStyle w:val="Compact"/>
        <w:numPr>
          <w:ilvl w:val="0"/>
          <w:numId w:val="1011"/>
        </w:numPr>
      </w:pPr>
      <w:r>
        <w:t xml:space="preserve">trends;</w:t>
      </w:r>
    </w:p>
    <w:p>
      <w:pPr>
        <w:pStyle w:val="Compact"/>
        <w:numPr>
          <w:ilvl w:val="0"/>
          <w:numId w:val="1011"/>
        </w:numPr>
      </w:pPr>
      <w:r>
        <w:t xml:space="preserve">recurring issues;</w:t>
      </w:r>
    </w:p>
    <w:p>
      <w:pPr>
        <w:pStyle w:val="Compact"/>
        <w:numPr>
          <w:ilvl w:val="0"/>
          <w:numId w:val="1011"/>
        </w:numPr>
      </w:pPr>
      <w:r>
        <w:t xml:space="preserve">training requirements;</w:t>
      </w:r>
    </w:p>
    <w:p>
      <w:pPr>
        <w:pStyle w:val="Compact"/>
        <w:numPr>
          <w:ilvl w:val="0"/>
          <w:numId w:val="1011"/>
        </w:numPr>
      </w:pPr>
      <w:r>
        <w:t xml:space="preserve">compliance improvements; and</w:t>
      </w:r>
    </w:p>
    <w:p>
      <w:pPr>
        <w:pStyle w:val="Compact"/>
        <w:numPr>
          <w:ilvl w:val="0"/>
          <w:numId w:val="1011"/>
        </w:numPr>
      </w:pPr>
      <w:r>
        <w:t xml:space="preserve">opportunities to enhance service quality.</w:t>
      </w:r>
    </w:p>
    <w:p>
      <w:pPr>
        <w:pStyle w:val="FirstParagraph"/>
      </w:pPr>
      <w:r>
        <w:t xml:space="preserve">Lessons learned may be incorporated into policies, procedures and staff training.</w:t>
      </w:r>
    </w:p>
    <w:p>
      <w:r>
        <w:pict>
          <v:rect style="width:0;height:1.5pt" o:hralign="center" o:hrstd="t" o:hr="t"/>
        </w:pict>
      </w:r>
    </w:p>
    <w:bookmarkEnd w:id="35"/>
    <w:bookmarkStart w:id="36" w:name="rec-members"/>
    <w:p>
      <w:pPr>
        <w:pStyle w:val="Heading2"/>
      </w:pPr>
      <w:r>
        <w:t xml:space="preserve">13. REC Members</w:t>
      </w:r>
    </w:p>
    <w:p>
      <w:pPr>
        <w:pStyle w:val="FirstParagraph"/>
      </w:pPr>
      <w:r>
        <w:t xml:space="preserve">As an REC member, Class People is committed to maintaining high professional standards and complying with the REC Code of Professional Practice.</w:t>
      </w:r>
    </w:p>
    <w:p>
      <w:pPr>
        <w:pStyle w:val="BodyText"/>
      </w:pPr>
      <w:r>
        <w:t xml:space="preserve">Where appropriate, complainants may also seek guidance from the Recruitment &amp; Employment Confederation (REC).</w:t>
      </w:r>
    </w:p>
    <w:p>
      <w:r>
        <w:pict>
          <v:rect style="width:0;height:1.5pt" o:hralign="center" o:hrstd="t" o:hr="t"/>
        </w:pict>
      </w:r>
    </w:p>
    <w:bookmarkEnd w:id="36"/>
    <w:bookmarkStart w:id="37" w:name="review"/>
    <w:p>
      <w:pPr>
        <w:pStyle w:val="Heading2"/>
      </w:pPr>
      <w:r>
        <w:t xml:space="preserve">14. Review</w:t>
      </w:r>
    </w:p>
    <w:p>
      <w:pPr>
        <w:pStyle w:val="FirstParagraph"/>
      </w:pPr>
      <w:r>
        <w:t xml:space="preserve">This procedure shall be reviewed annually and updated where necessary to reflect legal, regulatory and operational developments.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Policy Owner:</w:t>
      </w:r>
      <w:r>
        <w:t xml:space="preserve"> </w:t>
      </w:r>
      <w:r>
        <w:t xml:space="preserve">Managing Director</w:t>
      </w:r>
    </w:p>
    <w:p>
      <w:pPr>
        <w:pStyle w:val="BodyText"/>
      </w:pPr>
      <w:r>
        <w:rPr>
          <w:b/>
          <w:bCs/>
        </w:rPr>
        <w:t xml:space="preserve">Version:</w:t>
      </w:r>
      <w:r>
        <w:t xml:space="preserve"> </w:t>
      </w:r>
      <w:r>
        <w:t xml:space="preserve">1.0</w:t>
      </w:r>
    </w:p>
    <w:p>
      <w:pPr>
        <w:pStyle w:val="BodyText"/>
      </w:pPr>
      <w:r>
        <w:rPr>
          <w:b/>
          <w:bCs/>
        </w:rPr>
        <w:t xml:space="preserve">Effective Date:</w:t>
      </w:r>
      <w:r>
        <w:t xml:space="preserve"> </w:t>
      </w:r>
      <w:r>
        <w:t xml:space="preserve">July 2026</w:t>
      </w:r>
    </w:p>
    <w:p>
      <w:pPr>
        <w:pStyle w:val="BodyText"/>
      </w:pPr>
      <w:r>
        <w:rPr>
          <w:b/>
          <w:bCs/>
        </w:rPr>
        <w:t xml:space="preserve">Review Date:</w:t>
      </w:r>
      <w:r>
        <w:t xml:space="preserve"> </w:t>
      </w:r>
      <w:r>
        <w:t xml:space="preserve">July 2027</w:t>
      </w:r>
    </w:p>
    <w:bookmarkEnd w:id="37"/>
    <w:bookmarkEnd w:id="3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2026-06-15T05:45:08Z</dcterms:created>
  <dcterms:modified xsi:type="dcterms:W3CDTF">2026-06-15T05:45:08Z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